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E4" w:rsidRDefault="00053377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《设计素描与色彩（三）》课程教学大纲</w:t>
      </w:r>
    </w:p>
    <w:p w:rsidR="00886DE4" w:rsidRDefault="00053377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886DE4">
        <w:trPr>
          <w:jc w:val="center"/>
        </w:trPr>
        <w:tc>
          <w:tcPr>
            <w:tcW w:w="1135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886DE4" w:rsidRDefault="00053377" w:rsidP="004B18D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Sketch and Color Study</w:t>
            </w:r>
            <w:r w:rsidR="004B18D8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886DE4" w:rsidRDefault="00053377" w:rsidP="000B6A6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ARTE115</w:t>
            </w:r>
            <w:r w:rsidR="000B6A60">
              <w:rPr>
                <w:rFonts w:ascii="宋体" w:eastAsia="宋体" w:hAnsi="宋体" w:hint="eastAsia"/>
              </w:rPr>
              <w:t>3</w:t>
            </w:r>
          </w:p>
        </w:tc>
      </w:tr>
      <w:tr w:rsidR="00886DE4">
        <w:trPr>
          <w:jc w:val="center"/>
        </w:trPr>
        <w:tc>
          <w:tcPr>
            <w:tcW w:w="1135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886DE4" w:rsidRDefault="0005337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必修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</w:t>
            </w:r>
          </w:p>
        </w:tc>
      </w:tr>
      <w:tr w:rsidR="00886DE4">
        <w:trPr>
          <w:jc w:val="center"/>
        </w:trPr>
        <w:tc>
          <w:tcPr>
            <w:tcW w:w="1135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886DE4" w:rsidRDefault="0005337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2.0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</w:tr>
      <w:tr w:rsidR="00886DE4">
        <w:trPr>
          <w:jc w:val="center"/>
        </w:trPr>
        <w:tc>
          <w:tcPr>
            <w:tcW w:w="1135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886DE4" w:rsidRDefault="0005337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室内设计系教师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2023.5</w:t>
            </w:r>
          </w:p>
        </w:tc>
      </w:tr>
      <w:tr w:rsidR="00886DE4">
        <w:trPr>
          <w:jc w:val="center"/>
        </w:trPr>
        <w:tc>
          <w:tcPr>
            <w:tcW w:w="1135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设计素描，设计色彩</w:t>
            </w:r>
            <w:bookmarkStart w:id="0" w:name="_GoBack"/>
            <w:bookmarkEnd w:id="0"/>
          </w:p>
        </w:tc>
      </w:tr>
    </w:tbl>
    <w:p w:rsidR="00886DE4" w:rsidRDefault="00053377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886DE4" w:rsidRDefault="00053377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:rsidR="00886DE4" w:rsidRDefault="00053377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课程要求首先把所有的课程被细化和分解的课程整合起来，按照设计的方式，科学地进行有机的组合，素描写生开始就并入版式、平面、构成甚至于制图，进行一定程度的打包，从第二学期开始素描课程实行单元制，学生掌握最基本的素描造型能力后，开始设计素描，单元制分为写生-平立面写生-三维拓展三步走内容，其实质为让学生对造型、平面、构成、徒手制图这几个方面实质性的理解，以及相应物体的尺度关系。三步走把分散的课程内容相对集中，提高了时间效率，加强了相关课程的联系性，叙事性路径教学也使学生建立了整体性一贯性的思维方式，同时也符合设计艺术基础教育的基本规律，这个基本规律就是要使物体的两维性、三维性和四维性，避免孤立的去接触一门学科。</w:t>
      </w:r>
    </w:p>
    <w:p w:rsidR="00886DE4" w:rsidRDefault="00053377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886DE4" w:rsidRDefault="00053377">
      <w:pPr>
        <w:snapToGrid w:val="0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设计素描是设计专业的基础课程。设计素描有别于绘画</w:t>
      </w:r>
      <w:proofErr w:type="gramStart"/>
      <w:r>
        <w:rPr>
          <w:rFonts w:hAnsi="宋体" w:hint="eastAsia"/>
          <w:szCs w:val="21"/>
        </w:rPr>
        <w:t>类传统</w:t>
      </w:r>
      <w:proofErr w:type="gramEnd"/>
      <w:r>
        <w:rPr>
          <w:rFonts w:hAnsi="宋体" w:hint="eastAsia"/>
          <w:szCs w:val="21"/>
        </w:rPr>
        <w:t>素描基础教育的部分特征，真正能够体现出对于设计基础培养的重要性。课程具有设计专业独特体系的个性特征。通过教学认知形体结构，层次转折，材质肌理等，利用多种技术方法合理处理画面形态的综合能力。创新的教学的方法手段，帮助学生顺利从写生过渡到设计。</w:t>
      </w:r>
      <w:r>
        <w:rPr>
          <w:rFonts w:hAnsi="宋体"/>
          <w:szCs w:val="21"/>
        </w:rPr>
        <w:t>理论学习与实践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达到一下具体的教学目的：</w:t>
      </w:r>
    </w:p>
    <w:p w:rsidR="00886DE4" w:rsidRDefault="00053377">
      <w:pPr>
        <w:snapToGrid w:val="0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设计专业的学生自学能力，获取信息的能力，从根本上提高学生审美能力。为今后的踏入设计岗位从事设计工作打下坚实的基础。</w:t>
      </w:r>
    </w:p>
    <w:p w:rsidR="00886DE4" w:rsidRDefault="00053377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</w:p>
    <w:p w:rsidR="00886DE4" w:rsidRDefault="00053377">
      <w:pPr>
        <w:numPr>
          <w:ilvl w:val="0"/>
          <w:numId w:val="1"/>
        </w:numPr>
        <w:snapToGrid w:val="0"/>
        <w:rPr>
          <w:rFonts w:hAnsi="宋体"/>
          <w:szCs w:val="21"/>
        </w:rPr>
      </w:pPr>
      <w:r>
        <w:rPr>
          <w:rFonts w:hAnsi="宋体" w:cs="宋体" w:hint="eastAsia"/>
        </w:rPr>
        <w:t>1．1</w:t>
      </w:r>
      <w:r>
        <w:rPr>
          <w:rFonts w:hAnsi="宋体" w:hint="eastAsia"/>
          <w:szCs w:val="21"/>
        </w:rPr>
        <w:t>培养学生具有敏锐的感知力</w:t>
      </w:r>
    </w:p>
    <w:p w:rsidR="00886DE4" w:rsidRDefault="00053377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</w:p>
    <w:p w:rsidR="00886DE4" w:rsidRDefault="00053377">
      <w:pPr>
        <w:numPr>
          <w:ilvl w:val="0"/>
          <w:numId w:val="1"/>
        </w:numPr>
        <w:snapToGrid w:val="0"/>
        <w:rPr>
          <w:rFonts w:hAnsi="宋体" w:cs="宋体"/>
        </w:rPr>
      </w:pPr>
      <w:r>
        <w:rPr>
          <w:rFonts w:hAnsi="宋体" w:cs="宋体" w:hint="eastAsia"/>
        </w:rPr>
        <w:t>2．1</w:t>
      </w:r>
      <w:r>
        <w:rPr>
          <w:rFonts w:hAnsi="宋体" w:hint="eastAsia"/>
          <w:szCs w:val="21"/>
        </w:rPr>
        <w:t>空间想象能力</w:t>
      </w:r>
    </w:p>
    <w:p w:rsidR="00886DE4" w:rsidRDefault="00053377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课程目标3：</w:t>
      </w:r>
    </w:p>
    <w:p w:rsidR="00886DE4" w:rsidRDefault="00053377">
      <w:pPr>
        <w:numPr>
          <w:ilvl w:val="0"/>
          <w:numId w:val="1"/>
        </w:numPr>
        <w:snapToGrid w:val="0"/>
        <w:rPr>
          <w:rFonts w:hAnsi="宋体" w:cs="宋体"/>
        </w:rPr>
      </w:pPr>
      <w:r>
        <w:rPr>
          <w:rFonts w:hAnsi="宋体" w:cs="宋体" w:hint="eastAsia"/>
        </w:rPr>
        <w:lastRenderedPageBreak/>
        <w:t>3．1</w:t>
      </w:r>
      <w:r>
        <w:rPr>
          <w:rFonts w:hAnsi="宋体" w:hint="eastAsia"/>
          <w:szCs w:val="21"/>
        </w:rPr>
        <w:t>画面表现能力</w:t>
      </w:r>
    </w:p>
    <w:p w:rsidR="00886DE4" w:rsidRDefault="00053377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（要求参照《普通高等学校本科专业类教学质量国家标准》，对应各类专业认证标准，注意对毕业要求支撑程度强弱的描述，与“课程目标对毕业要求的支撑关系表一致）（五号宋体）</w:t>
      </w:r>
    </w:p>
    <w:p w:rsidR="00886DE4" w:rsidRDefault="00053377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:rsidR="00886DE4" w:rsidRDefault="00053377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886DE4">
        <w:trPr>
          <w:jc w:val="center"/>
        </w:trPr>
        <w:tc>
          <w:tcPr>
            <w:tcW w:w="1302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886DE4">
        <w:trPr>
          <w:jc w:val="center"/>
        </w:trPr>
        <w:tc>
          <w:tcPr>
            <w:tcW w:w="1302" w:type="dxa"/>
            <w:vMerge w:val="restart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造型，色彩写生与表现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图形表达</w:t>
            </w:r>
          </w:p>
        </w:tc>
      </w:tr>
      <w:tr w:rsidR="00886DE4">
        <w:trPr>
          <w:jc w:val="center"/>
        </w:trPr>
        <w:tc>
          <w:tcPr>
            <w:tcW w:w="1302" w:type="dxa"/>
            <w:vMerge/>
            <w:vAlign w:val="center"/>
          </w:tcPr>
          <w:p w:rsidR="00886DE4" w:rsidRDefault="00886DE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造型，色彩写生与表现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图形表达</w:t>
            </w:r>
          </w:p>
        </w:tc>
      </w:tr>
      <w:tr w:rsidR="00886DE4">
        <w:trPr>
          <w:jc w:val="center"/>
        </w:trPr>
        <w:tc>
          <w:tcPr>
            <w:tcW w:w="1302" w:type="dxa"/>
            <w:vMerge w:val="restart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平立面表达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设计创意</w:t>
            </w:r>
          </w:p>
        </w:tc>
      </w:tr>
      <w:tr w:rsidR="00886DE4">
        <w:trPr>
          <w:jc w:val="center"/>
        </w:trPr>
        <w:tc>
          <w:tcPr>
            <w:tcW w:w="1302" w:type="dxa"/>
            <w:vMerge/>
            <w:vAlign w:val="center"/>
          </w:tcPr>
          <w:p w:rsidR="00886DE4" w:rsidRDefault="00886DE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平立面表达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设计创意</w:t>
            </w:r>
          </w:p>
        </w:tc>
      </w:tr>
      <w:tr w:rsidR="00886DE4">
        <w:trPr>
          <w:jc w:val="center"/>
        </w:trPr>
        <w:tc>
          <w:tcPr>
            <w:tcW w:w="1302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……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画面表现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版式设计</w:t>
            </w:r>
          </w:p>
        </w:tc>
      </w:tr>
      <w:tr w:rsidR="00886DE4">
        <w:trPr>
          <w:jc w:val="center"/>
        </w:trPr>
        <w:tc>
          <w:tcPr>
            <w:tcW w:w="1302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……</w:t>
            </w:r>
          </w:p>
        </w:tc>
        <w:tc>
          <w:tcPr>
            <w:tcW w:w="195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……</w:t>
            </w:r>
          </w:p>
        </w:tc>
        <w:tc>
          <w:tcPr>
            <w:tcW w:w="311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画面表现</w:t>
            </w:r>
          </w:p>
        </w:tc>
        <w:tc>
          <w:tcPr>
            <w:tcW w:w="2688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板式设计</w:t>
            </w:r>
          </w:p>
        </w:tc>
      </w:tr>
    </w:tbl>
    <w:p w:rsidR="00886DE4" w:rsidRDefault="00053377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886DE4" w:rsidRDefault="00053377">
      <w:pPr>
        <w:widowControl/>
        <w:spacing w:beforeLines="50" w:before="156" w:afterLines="50" w:after="156"/>
        <w:ind w:firstLineChars="200" w:firstLine="482"/>
        <w:jc w:val="left"/>
        <w:rPr>
          <w:rFonts w:eastAsia="黑体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 机械物写生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 理解结构及表达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 结构分析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 机械物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 示范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 准确，图形，设计语言</w:t>
      </w:r>
    </w:p>
    <w:p w:rsidR="00886DE4" w:rsidRDefault="00053377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 机械物拓展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 分析平立面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 平立面与设计图形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 图形语言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 示范</w:t>
      </w:r>
    </w:p>
    <w:p w:rsidR="00886DE4" w:rsidRDefault="000533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 准确，图形，设计语言</w:t>
      </w:r>
    </w:p>
    <w:p w:rsidR="00886DE4" w:rsidRDefault="0005337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  <w:r>
        <w:rPr>
          <w:rFonts w:ascii="宋体" w:eastAsia="宋体" w:hAnsi="宋体" w:hint="eastAsia"/>
          <w:szCs w:val="21"/>
        </w:rPr>
        <w:t>（四号黑体）</w:t>
      </w:r>
    </w:p>
    <w:p w:rsidR="00886DE4" w:rsidRDefault="00053377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写生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结构分析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图形分析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设计表达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设计表达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886DE4">
        <w:trPr>
          <w:trHeight w:val="340"/>
          <w:jc w:val="center"/>
        </w:trPr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表现方法</w:t>
            </w:r>
          </w:p>
        </w:tc>
        <w:tc>
          <w:tcPr>
            <w:tcW w:w="276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</w:tbl>
    <w:p w:rsidR="00886DE4" w:rsidRDefault="0005337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  <w:r>
        <w:rPr>
          <w:rFonts w:ascii="宋体" w:eastAsia="宋体" w:hAnsi="宋体" w:hint="eastAsia"/>
        </w:rPr>
        <w:t>（四号黑体）</w:t>
      </w:r>
    </w:p>
    <w:p w:rsidR="00886DE4" w:rsidRDefault="0005337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写生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机械物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904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图形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平立面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分析平立面</w:t>
            </w:r>
          </w:p>
        </w:tc>
        <w:tc>
          <w:tcPr>
            <w:tcW w:w="904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机械物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结构准确</w:t>
            </w:r>
          </w:p>
        </w:tc>
        <w:tc>
          <w:tcPr>
            <w:tcW w:w="904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设计表达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图形语言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画面构成</w:t>
            </w:r>
          </w:p>
        </w:tc>
        <w:tc>
          <w:tcPr>
            <w:tcW w:w="904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设计表达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图形语言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画面构成</w:t>
            </w:r>
          </w:p>
        </w:tc>
        <w:tc>
          <w:tcPr>
            <w:tcW w:w="904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6DE4">
        <w:trPr>
          <w:trHeight w:val="340"/>
          <w:jc w:val="center"/>
        </w:trPr>
        <w:tc>
          <w:tcPr>
            <w:tcW w:w="1642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表现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单色彩色</w:t>
            </w:r>
          </w:p>
        </w:tc>
        <w:tc>
          <w:tcPr>
            <w:tcW w:w="1145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准确，平立面</w:t>
            </w:r>
          </w:p>
        </w:tc>
        <w:tc>
          <w:tcPr>
            <w:tcW w:w="904" w:type="dxa"/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886DE4" w:rsidRDefault="0005337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  <w:r>
        <w:rPr>
          <w:rFonts w:ascii="宋体" w:eastAsia="宋体" w:hAnsi="宋体" w:hint="eastAsia"/>
        </w:rPr>
        <w:t>（四号黑体）</w:t>
      </w:r>
    </w:p>
    <w:p w:rsidR="00886DE4" w:rsidRDefault="00053377">
      <w:pPr>
        <w:widowControl/>
        <w:numPr>
          <w:ilvl w:val="0"/>
          <w:numId w:val="2"/>
        </w:numPr>
        <w:spacing w:line="240" w:lineRule="atLeast"/>
        <w:ind w:leftChars="213" w:left="728" w:hangingChars="134" w:hanging="281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徐莹编著《叙事性路径教育.设计素描》中国</w:t>
      </w:r>
      <w:r>
        <w:rPr>
          <w:rFonts w:hAnsi="宋体" w:cs="宋体"/>
          <w:szCs w:val="21"/>
        </w:rPr>
        <w:t>建筑工业出版社，</w:t>
      </w:r>
      <w:r>
        <w:rPr>
          <w:rFonts w:hAnsi="宋体" w:cs="宋体" w:hint="eastAsia"/>
          <w:szCs w:val="21"/>
        </w:rPr>
        <w:t>2019</w:t>
      </w:r>
    </w:p>
    <w:p w:rsidR="00886DE4" w:rsidRDefault="00053377">
      <w:pPr>
        <w:widowControl/>
        <w:numPr>
          <w:ilvl w:val="0"/>
          <w:numId w:val="2"/>
        </w:numPr>
        <w:spacing w:line="240" w:lineRule="atLeast"/>
        <w:ind w:leftChars="213" w:left="728" w:hangingChars="134" w:hanging="281"/>
        <w:rPr>
          <w:rFonts w:ascii="宋体" w:eastAsia="宋体" w:hAnsi="宋体"/>
        </w:rPr>
      </w:pPr>
      <w:proofErr w:type="gramStart"/>
      <w:r>
        <w:rPr>
          <w:rFonts w:hAnsi="宋体" w:cs="宋体" w:hint="eastAsia"/>
          <w:szCs w:val="21"/>
        </w:rPr>
        <w:t>汤恒亮</w:t>
      </w:r>
      <w:proofErr w:type="gramEnd"/>
      <w:r>
        <w:rPr>
          <w:rFonts w:hAnsi="宋体" w:cs="宋体" w:hint="eastAsia"/>
          <w:szCs w:val="21"/>
        </w:rPr>
        <w:t xml:space="preserve"> </w:t>
      </w:r>
      <w:proofErr w:type="gramStart"/>
      <w:r>
        <w:rPr>
          <w:rFonts w:hAnsi="宋体" w:cs="宋体" w:hint="eastAsia"/>
          <w:szCs w:val="21"/>
        </w:rPr>
        <w:t>王琼著《叙事性路径教育.设计色彩》</w:t>
      </w:r>
      <w:proofErr w:type="gramEnd"/>
      <w:r>
        <w:rPr>
          <w:rFonts w:hAnsi="宋体" w:cs="宋体" w:hint="eastAsia"/>
          <w:szCs w:val="21"/>
        </w:rPr>
        <w:t>中国建筑工业出版社，2018</w:t>
      </w:r>
      <w:r>
        <w:rPr>
          <w:rFonts w:ascii="宋体" w:eastAsia="宋体" w:hAnsi="宋体"/>
        </w:rPr>
        <w:t xml:space="preserve"> </w:t>
      </w:r>
    </w:p>
    <w:p w:rsidR="00886DE4" w:rsidRDefault="00053377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 xml:space="preserve">七、教学方法 </w:t>
      </w:r>
    </w:p>
    <w:p w:rsidR="00886DE4" w:rsidRDefault="00053377">
      <w:pPr>
        <w:widowControl/>
        <w:numPr>
          <w:ilvl w:val="0"/>
          <w:numId w:val="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示范法 通过具体的示范，理解如何分析与表达</w:t>
      </w:r>
    </w:p>
    <w:p w:rsidR="00886DE4" w:rsidRDefault="00053377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886DE4" w:rsidRDefault="0005337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  <w:r>
        <w:rPr>
          <w:rFonts w:ascii="宋体" w:eastAsia="宋体" w:hAnsi="宋体" w:hint="eastAsia"/>
          <w:szCs w:val="21"/>
        </w:rPr>
        <w:t>（小四号黑体）</w:t>
      </w:r>
    </w:p>
    <w:p w:rsidR="00886DE4" w:rsidRDefault="0005337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886DE4">
        <w:trPr>
          <w:trHeight w:val="567"/>
          <w:jc w:val="center"/>
        </w:trPr>
        <w:tc>
          <w:tcPr>
            <w:tcW w:w="2847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886DE4">
        <w:trPr>
          <w:trHeight w:val="567"/>
          <w:jc w:val="center"/>
        </w:trPr>
        <w:tc>
          <w:tcPr>
            <w:tcW w:w="2847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准确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写生</w:t>
            </w:r>
          </w:p>
        </w:tc>
      </w:tr>
      <w:tr w:rsidR="00886DE4">
        <w:trPr>
          <w:trHeight w:val="567"/>
          <w:jc w:val="center"/>
        </w:trPr>
        <w:tc>
          <w:tcPr>
            <w:tcW w:w="2847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图形创意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设计规范</w:t>
            </w:r>
          </w:p>
        </w:tc>
      </w:tr>
      <w:tr w:rsidR="00886DE4">
        <w:trPr>
          <w:trHeight w:val="567"/>
          <w:jc w:val="center"/>
        </w:trPr>
        <w:tc>
          <w:tcPr>
            <w:tcW w:w="2847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画面表达</w:t>
            </w:r>
          </w:p>
        </w:tc>
        <w:tc>
          <w:tcPr>
            <w:tcW w:w="2849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视觉分析</w:t>
            </w:r>
          </w:p>
        </w:tc>
      </w:tr>
      <w:tr w:rsidR="00886DE4">
        <w:trPr>
          <w:trHeight w:val="567"/>
          <w:jc w:val="center"/>
        </w:trPr>
        <w:tc>
          <w:tcPr>
            <w:tcW w:w="2847" w:type="dxa"/>
            <w:vAlign w:val="center"/>
          </w:tcPr>
          <w:p w:rsidR="00886DE4" w:rsidRDefault="0005337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……（五号宋体）</w:t>
            </w:r>
          </w:p>
        </w:tc>
        <w:tc>
          <w:tcPr>
            <w:tcW w:w="2849" w:type="dxa"/>
            <w:vAlign w:val="center"/>
          </w:tcPr>
          <w:p w:rsidR="00886DE4" w:rsidRDefault="00886DE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 w:rsidR="00886DE4" w:rsidRDefault="00886DE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</w:tbl>
    <w:p w:rsidR="00886DE4" w:rsidRDefault="0005337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  <w:r>
        <w:rPr>
          <w:rFonts w:ascii="宋体" w:eastAsia="宋体" w:hAnsi="宋体" w:hint="eastAsia"/>
          <w:szCs w:val="21"/>
        </w:rPr>
        <w:t>（小四号黑体）</w:t>
      </w:r>
    </w:p>
    <w:p w:rsidR="00886DE4" w:rsidRDefault="00053377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  <w:r>
        <w:rPr>
          <w:rFonts w:ascii="宋体" w:eastAsia="宋体" w:hAnsi="宋体" w:hint="eastAsia"/>
        </w:rPr>
        <w:t>（五号宋体）</w:t>
      </w:r>
    </w:p>
    <w:p w:rsidR="00886DE4" w:rsidRDefault="0005337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，按课程考核实际情况描述</w:t>
      </w:r>
    </w:p>
    <w:p w:rsidR="00886DE4" w:rsidRDefault="0005337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:rsidR="00886DE4" w:rsidRDefault="0005337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886DE4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886DE4" w:rsidRDefault="00053377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886DE4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。按课程考核实际情况描述）</w:t>
            </w:r>
          </w:p>
        </w:tc>
      </w:tr>
      <w:tr w:rsidR="00886DE4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886DE4" w:rsidRDefault="00886DE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886DE4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886DE4" w:rsidRDefault="00886DE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886DE4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6DE4" w:rsidRDefault="00886DE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886DE4" w:rsidRDefault="00886DE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6DE4" w:rsidRDefault="00886DE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6DE4" w:rsidRDefault="00886DE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886DE4" w:rsidRDefault="00886DE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886DE4" w:rsidRDefault="0005337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  <w:r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886DE4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评分标准</w:t>
            </w:r>
          </w:p>
        </w:tc>
      </w:tr>
      <w:tr w:rsidR="00886DE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886DE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886DE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886DE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886DE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基本表达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初步表达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不理解</w:t>
            </w:r>
          </w:p>
        </w:tc>
      </w:tr>
      <w:tr w:rsidR="00886DE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基本表达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初步表达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不理解</w:t>
            </w:r>
          </w:p>
        </w:tc>
      </w:tr>
      <w:tr w:rsidR="00886DE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886DE4" w:rsidRDefault="0005337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基本表达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初步表达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4" w:rsidRDefault="0005337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不理解</w:t>
            </w:r>
          </w:p>
        </w:tc>
      </w:tr>
    </w:tbl>
    <w:p w:rsidR="00886DE4" w:rsidRDefault="00886DE4">
      <w:pPr>
        <w:widowControl/>
        <w:jc w:val="left"/>
        <w:rPr>
          <w:rFonts w:ascii="宋体" w:eastAsia="宋体" w:hAnsi="宋体"/>
        </w:rPr>
      </w:pPr>
    </w:p>
    <w:sectPr w:rsidR="0088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29" w:rsidRDefault="00841229" w:rsidP="004B18D8">
      <w:r>
        <w:separator/>
      </w:r>
    </w:p>
  </w:endnote>
  <w:endnote w:type="continuationSeparator" w:id="0">
    <w:p w:rsidR="00841229" w:rsidRDefault="00841229" w:rsidP="004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29" w:rsidRDefault="00841229" w:rsidP="004B18D8">
      <w:r>
        <w:separator/>
      </w:r>
    </w:p>
  </w:footnote>
  <w:footnote w:type="continuationSeparator" w:id="0">
    <w:p w:rsidR="00841229" w:rsidRDefault="00841229" w:rsidP="004B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0D67B"/>
    <w:multiLevelType w:val="singleLevel"/>
    <w:tmpl w:val="83F0D67B"/>
    <w:lvl w:ilvl="0">
      <w:start w:val="1"/>
      <w:numFmt w:val="decimal"/>
      <w:suff w:val="nothing"/>
      <w:lvlText w:val="%1．"/>
      <w:lvlJc w:val="left"/>
    </w:lvl>
  </w:abstractNum>
  <w:abstractNum w:abstractNumId="1">
    <w:nsid w:val="16197A78"/>
    <w:multiLevelType w:val="multilevel"/>
    <w:tmpl w:val="16197A78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D56638"/>
    <w:multiLevelType w:val="multilevel"/>
    <w:tmpl w:val="3DD56638"/>
    <w:lvl w:ilvl="0">
      <w:start w:val="1"/>
      <w:numFmt w:val="bullet"/>
      <w:lvlText w:val="•"/>
      <w:lvlJc w:val="left"/>
      <w:pPr>
        <w:ind w:left="915" w:hanging="48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DM1ZDdiOThjYWE2YjI3ZWYwZmFjNTQ5NzJkMTAifQ=="/>
  </w:docVars>
  <w:rsids>
    <w:rsidRoot w:val="001E5724"/>
    <w:rsid w:val="00022CBB"/>
    <w:rsid w:val="00053377"/>
    <w:rsid w:val="00077A5F"/>
    <w:rsid w:val="000B6A60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4B18D8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41229"/>
    <w:rsid w:val="008560E2"/>
    <w:rsid w:val="00886DE4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CE5143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8EF2DDE"/>
    <w:rsid w:val="456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P R C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</cp:lastModifiedBy>
  <cp:revision>38</cp:revision>
  <cp:lastPrinted>2020-12-24T07:17:00Z</cp:lastPrinted>
  <dcterms:created xsi:type="dcterms:W3CDTF">2020-12-08T08:33:00Z</dcterms:created>
  <dcterms:modified xsi:type="dcterms:W3CDTF">2023-11-02T09:56:00Z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DD96CF0826AE41519AED437A76913B2C_13</vt:lpwstr>
  </property>
</Properties>
</file>